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drawing>
          <wp:inline xmlns:a="http://schemas.openxmlformats.org/drawingml/2006/main" xmlns:pic="http://schemas.openxmlformats.org/drawingml/2006/picture">
            <wp:extent cx="5715000" cy="751973"/>
            <wp:docPr id="1" name="Picture 1"/>
            <wp:cNvGraphicFramePr>
              <a:graphicFrameLocks noChangeAspect="1"/>
            </wp:cNvGraphicFramePr>
            <a:graphic>
              <a:graphicData uri="http://schemas.openxmlformats.org/drawingml/2006/picture">
                <pic:pic>
                  <pic:nvPicPr>
                    <pic:cNvPr id="0" name="pnrr_logos.png"/>
                    <pic:cNvPicPr/>
                  </pic:nvPicPr>
                  <pic:blipFill>
                    <a:blip r:embed="rId9"/>
                    <a:stretch>
                      <a:fillRect/>
                    </a:stretch>
                  </pic:blipFill>
                  <pic:spPr>
                    <a:xfrm>
                      <a:off x="0" y="0"/>
                      <a:ext cx="5715000" cy="751973"/>
                    </a:xfrm>
                    <a:prstGeom prst="rect"/>
                  </pic:spPr>
                </pic:pic>
              </a:graphicData>
            </a:graphic>
          </wp:inline>
        </w:drawing>
      </w:r>
    </w:p>
    <w:p>
      <w:pPr>
        <w:spacing w:after="20"/>
        <w:jc w:val="center"/>
      </w:pPr>
      <w:r>
        <w:rPr>
          <w:rFonts w:ascii="Arial" w:hAnsi="Arial"/>
          <w:b/>
          <w:i w:val="0"/>
          <w:color w:val="003B7A"/>
          <w:sz w:val="36"/>
        </w:rPr>
        <w:t>COMUNICAT DE PRESĂ</w:t>
      </w:r>
    </w:p>
    <w:p>
      <w:pPr>
        <w:spacing w:after="60"/>
        <w:jc w:val="center"/>
      </w:pPr>
      <w:r>
        <w:rPr>
          <w:rFonts w:ascii="Arial" w:hAnsi="Arial"/>
          <w:b/>
          <w:i w:val="0"/>
          <w:color w:val="003B7A"/>
          <w:sz w:val="25"/>
        </w:rPr>
        <w:t>Finalizarea proiectului „Școală atractivă și educație digitală pentru toți copiii din comuna Salcia Tudor”</w:t>
      </w:r>
    </w:p>
    <w:p>
      <w:pPr>
        <w:spacing w:after="140"/>
        <w:jc w:val="center"/>
      </w:pPr>
      <w:r>
        <w:rPr>
          <w:rFonts w:ascii="Arial" w:hAnsi="Arial"/>
          <w:b w:val="0"/>
          <w:i/>
          <w:color w:val="003B7A"/>
          <w:sz w:val="24"/>
        </w:rPr>
        <w:t>„PNRR: Fonduri pentru România modernă și reformată!”</w:t>
      </w:r>
    </w:p>
    <w:p>
      <w:pPr>
        <w:spacing w:before="0" w:after="100" w:line="252" w:lineRule="auto"/>
        <w:jc w:val="both"/>
      </w:pPr>
      <w:r>
        <w:rPr>
          <w:rFonts w:ascii="Arial" w:hAnsi="Arial"/>
          <w:b/>
          <w:i w:val="0"/>
          <w:color w:val="000000"/>
          <w:sz w:val="21"/>
        </w:rPr>
        <w:t xml:space="preserve">Salcia Tudor, 29 iulie 2026. </w:t>
      </w:r>
      <w:r>
        <w:rPr>
          <w:rFonts w:ascii="Arial" w:hAnsi="Arial"/>
          <w:b w:val="0"/>
          <w:i w:val="0"/>
          <w:color w:val="000000"/>
          <w:sz w:val="21"/>
        </w:rPr>
        <w:t>Unitatea Administrativ-Teritorială Comuna Salcia Tudor anunță finalizarea proiectului „Școală atractivă și educație digitală pentru toți copiii din comuna Salcia Tudor”, cod F-PNRR-Dotari-2023-6174, implementat în perioada 08.08.2023–30.06.2026, cu finanțare acordată prin Planul Național de Redresare și Reziliență.</w:t>
      </w:r>
    </w:p>
    <w:p>
      <w:pPr>
        <w:spacing w:before="0" w:after="60" w:line="252" w:lineRule="auto"/>
        <w:jc w:val="both"/>
      </w:pPr>
      <w:r>
        <w:rPr>
          <w:rFonts w:ascii="Arial" w:hAnsi="Arial"/>
          <w:b/>
          <w:i w:val="0"/>
          <w:color w:val="000000"/>
          <w:sz w:val="21"/>
        </w:rPr>
        <w:t>Prin implementarea proiectului au fost urmărite și realizate următoarele obiective:</w:t>
      </w:r>
    </w:p>
    <w:p>
      <w:pPr>
        <w:pStyle w:val="ListNumber"/>
        <w:spacing w:after="50" w:line="240" w:lineRule="auto"/>
        <w:ind w:left="403" w:hanging="288"/>
      </w:pPr>
      <w:r>
        <w:rPr>
          <w:rFonts w:ascii="Arial" w:hAnsi="Arial"/>
          <w:b w:val="0"/>
          <w:i w:val="0"/>
          <w:color w:val="000000"/>
          <w:sz w:val="20"/>
        </w:rPr>
        <w:t>Dezvoltarea infrastructurii școlare prin înființarea și dotarea corespunzătoare a unui laborator de informatică.</w:t>
      </w:r>
    </w:p>
    <w:p>
      <w:pPr>
        <w:pStyle w:val="ListNumber"/>
        <w:spacing w:after="50" w:line="240" w:lineRule="auto"/>
        <w:ind w:left="403" w:hanging="288"/>
      </w:pPr>
      <w:r>
        <w:rPr>
          <w:rFonts w:ascii="Arial" w:hAnsi="Arial"/>
          <w:b w:val="0"/>
          <w:i w:val="0"/>
          <w:color w:val="000000"/>
          <w:sz w:val="20"/>
        </w:rPr>
        <w:t>Dezvoltarea abilităților digitale ale elevilor și cadrelor didactice de la Școala Gimnazială Salcia Tudor, prin digitalizarea mediilor de învățare și dotarea a 10 săli de clasă cu echipamente digitale.</w:t>
      </w:r>
    </w:p>
    <w:p>
      <w:pPr>
        <w:pStyle w:val="ListNumber"/>
        <w:spacing w:after="50" w:line="240" w:lineRule="auto"/>
        <w:ind w:left="403" w:hanging="288"/>
      </w:pPr>
      <w:r>
        <w:rPr>
          <w:rFonts w:ascii="Arial" w:hAnsi="Arial"/>
          <w:b w:val="0"/>
          <w:i w:val="0"/>
          <w:color w:val="000000"/>
          <w:sz w:val="20"/>
        </w:rPr>
        <w:t>Îmbunătățirea mediilor de învățare și crearea unui climat favorabil studiului, prin dotarea cu mobilier și materiale didactice a 10 săli de clasă din învățământul preșcolar, primar și gimnazial.</w:t>
      </w:r>
    </w:p>
    <w:p>
      <w:pPr>
        <w:pStyle w:val="ListNumber"/>
        <w:spacing w:after="50" w:line="240" w:lineRule="auto"/>
        <w:ind w:left="403" w:hanging="288"/>
      </w:pPr>
      <w:r>
        <w:rPr>
          <w:rFonts w:ascii="Arial" w:hAnsi="Arial"/>
          <w:b w:val="0"/>
          <w:i w:val="0"/>
          <w:color w:val="000000"/>
          <w:sz w:val="20"/>
        </w:rPr>
        <w:t>Creșterea calității infrastructurii specifice diverselor discipline, prin dotarea cu echipamente, mobilier și materiale didactice a unui laborator multidisciplinar.</w:t>
      </w:r>
    </w:p>
    <w:p>
      <w:pPr>
        <w:spacing w:before="0" w:after="100" w:line="252" w:lineRule="auto"/>
        <w:jc w:val="both"/>
      </w:pPr>
      <w:r>
        <w:rPr>
          <w:rFonts w:ascii="Arial" w:hAnsi="Arial"/>
          <w:b/>
          <w:i w:val="0"/>
          <w:color w:val="000000"/>
          <w:sz w:val="21"/>
        </w:rPr>
        <w:t xml:space="preserve">Impactul investiției. </w:t>
      </w:r>
      <w:r>
        <w:rPr>
          <w:rFonts w:ascii="Arial" w:hAnsi="Arial"/>
          <w:b w:val="0"/>
          <w:i w:val="0"/>
          <w:color w:val="000000"/>
          <w:sz w:val="21"/>
        </w:rPr>
        <w:t>Finalizarea proiectului contribuie la modernizarea procesului educațional din comuna Salcia Tudor și la reducerea decalajelor privind accesul la tehnologie și la resurse educaționale moderne. Elevii și cadrele didactice beneficiază de spații de învățare mai bine echipate, de instrumente digitale adecvate și de condiții îmbunătățite pentru desfășurarea activităților didactice. Investiția susține dezvoltarea competențelor digitale, creșterea atractivității școlii și asigurarea unui acces echitabil la educație de calitate pentru copiii din comunitate.</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264"/>
        <w:gridCol w:w="2880"/>
      </w:tblGrid>
      <w:tr>
        <w:trPr>
          <w:tblHeader w:val="true"/>
        </w:trPr>
        <w:tc>
          <w:tcPr>
            <w:tcW w:type="dxa" w:w="6264"/>
            <w:shd w:fill="E8EEF5"/>
            <w:tcMar>
              <w:top w:w="70" w:type="dxa"/>
              <w:start w:w="90" w:type="dxa"/>
              <w:bottom w:w="70" w:type="dxa"/>
              <w:end w:w="90" w:type="dxa"/>
            </w:tcMar>
            <w:vAlign w:val="center"/>
          </w:tcPr>
          <w:p>
            <w:r>
              <w:rPr>
                <w:rFonts w:ascii="Arial" w:hAnsi="Arial"/>
                <w:b/>
                <w:i w:val="0"/>
                <w:color w:val="003B7A"/>
                <w:sz w:val="19"/>
              </w:rPr>
              <w:t>Indicator financiar</w:t>
            </w:r>
          </w:p>
        </w:tc>
        <w:tc>
          <w:tcPr>
            <w:tcW w:type="dxa" w:w="2880"/>
            <w:shd w:fill="E8EEF5"/>
            <w:tcMar>
              <w:top w:w="70" w:type="dxa"/>
              <w:start w:w="90" w:type="dxa"/>
              <w:bottom w:w="70" w:type="dxa"/>
              <w:end w:w="90" w:type="dxa"/>
            </w:tcMar>
            <w:vAlign w:val="center"/>
          </w:tcPr>
          <w:p>
            <w:pPr>
              <w:jc w:val="right"/>
            </w:pPr>
            <w:r>
              <w:rPr>
                <w:rFonts w:ascii="Arial" w:hAnsi="Arial"/>
                <w:b/>
                <w:i w:val="0"/>
                <w:color w:val="003B7A"/>
                <w:sz w:val="19"/>
              </w:rPr>
              <w:t>Valoare</w:t>
            </w:r>
          </w:p>
        </w:tc>
      </w:tr>
      <w:tr>
        <w:tc>
          <w:tcPr>
            <w:tcW w:type="dxa" w:w="6264"/>
            <w:tcMar>
              <w:top w:w="70" w:type="dxa"/>
              <w:start w:w="90" w:type="dxa"/>
              <w:bottom w:w="70" w:type="dxa"/>
              <w:end w:w="90" w:type="dxa"/>
            </w:tcMar>
            <w:vAlign w:val="center"/>
          </w:tcPr>
          <w:p>
            <w:r>
              <w:rPr>
                <w:rFonts w:ascii="Arial" w:hAnsi="Arial"/>
                <w:b w:val="0"/>
                <w:i w:val="0"/>
                <w:color w:val="000000"/>
                <w:sz w:val="19"/>
              </w:rPr>
              <w:t>Valoarea totală contractată</w:t>
            </w:r>
          </w:p>
        </w:tc>
        <w:tc>
          <w:tcPr>
            <w:tcW w:type="dxa" w:w="2880"/>
            <w:tcMar>
              <w:top w:w="70" w:type="dxa"/>
              <w:start w:w="90" w:type="dxa"/>
              <w:bottom w:w="70" w:type="dxa"/>
              <w:end w:w="90" w:type="dxa"/>
            </w:tcMar>
            <w:vAlign w:val="center"/>
          </w:tcPr>
          <w:p>
            <w:pPr>
              <w:jc w:val="right"/>
            </w:pPr>
            <w:r>
              <w:rPr>
                <w:rFonts w:ascii="Arial" w:hAnsi="Arial"/>
                <w:b/>
                <w:i w:val="0"/>
                <w:color w:val="000000"/>
                <w:sz w:val="19"/>
              </w:rPr>
              <w:t>825.342,23 lei</w:t>
            </w:r>
          </w:p>
        </w:tc>
      </w:tr>
      <w:tr>
        <w:tc>
          <w:tcPr>
            <w:tcW w:type="dxa" w:w="6264"/>
            <w:shd w:fill="F5F7FA"/>
            <w:tcMar>
              <w:top w:w="70" w:type="dxa"/>
              <w:start w:w="90" w:type="dxa"/>
              <w:bottom w:w="70" w:type="dxa"/>
              <w:end w:w="90" w:type="dxa"/>
            </w:tcMar>
            <w:vAlign w:val="center"/>
          </w:tcPr>
          <w:p>
            <w:r>
              <w:rPr>
                <w:rFonts w:ascii="Arial" w:hAnsi="Arial"/>
                <w:b w:val="0"/>
                <w:i w:val="0"/>
                <w:color w:val="000000"/>
                <w:sz w:val="19"/>
              </w:rPr>
              <w:t>Valoarea eligibilă din PNRR</w:t>
            </w:r>
          </w:p>
        </w:tc>
        <w:tc>
          <w:tcPr>
            <w:tcW w:type="dxa" w:w="2880"/>
            <w:shd w:fill="F5F7FA"/>
            <w:tcMar>
              <w:top w:w="70" w:type="dxa"/>
              <w:start w:w="90" w:type="dxa"/>
              <w:bottom w:w="70" w:type="dxa"/>
              <w:end w:w="90" w:type="dxa"/>
            </w:tcMar>
            <w:vAlign w:val="center"/>
          </w:tcPr>
          <w:p>
            <w:pPr>
              <w:jc w:val="right"/>
            </w:pPr>
            <w:r>
              <w:rPr>
                <w:rFonts w:ascii="Arial" w:hAnsi="Arial"/>
                <w:b/>
                <w:i w:val="0"/>
                <w:color w:val="000000"/>
                <w:sz w:val="19"/>
              </w:rPr>
              <w:t>693.564,90 lei</w:t>
            </w:r>
          </w:p>
        </w:tc>
      </w:tr>
      <w:tr>
        <w:tc>
          <w:tcPr>
            <w:tcW w:type="dxa" w:w="6264"/>
            <w:tcMar>
              <w:top w:w="70" w:type="dxa"/>
              <w:start w:w="90" w:type="dxa"/>
              <w:bottom w:w="70" w:type="dxa"/>
              <w:end w:w="90" w:type="dxa"/>
            </w:tcMar>
            <w:vAlign w:val="center"/>
          </w:tcPr>
          <w:p>
            <w:r>
              <w:rPr>
                <w:rFonts w:ascii="Arial" w:hAnsi="Arial"/>
                <w:b w:val="0"/>
                <w:i w:val="0"/>
                <w:color w:val="000000"/>
                <w:sz w:val="19"/>
              </w:rPr>
              <w:t>Valoarea TVA eligibilă</w:t>
            </w:r>
          </w:p>
        </w:tc>
        <w:tc>
          <w:tcPr>
            <w:tcW w:type="dxa" w:w="2880"/>
            <w:tcMar>
              <w:top w:w="70" w:type="dxa"/>
              <w:start w:w="90" w:type="dxa"/>
              <w:bottom w:w="70" w:type="dxa"/>
              <w:end w:w="90" w:type="dxa"/>
            </w:tcMar>
            <w:vAlign w:val="center"/>
          </w:tcPr>
          <w:p>
            <w:pPr>
              <w:jc w:val="right"/>
            </w:pPr>
            <w:r>
              <w:rPr>
                <w:rFonts w:ascii="Arial" w:hAnsi="Arial"/>
                <w:b/>
                <w:i w:val="0"/>
                <w:color w:val="000000"/>
                <w:sz w:val="19"/>
              </w:rPr>
              <w:t>131.777,33 lei</w:t>
            </w:r>
          </w:p>
        </w:tc>
      </w:tr>
    </w:tbl>
    <w:p>
      <w:pPr>
        <w:spacing w:before="100" w:after="80" w:line="252" w:lineRule="auto"/>
        <w:jc w:val="left"/>
      </w:pPr>
      <w:r>
        <w:rPr>
          <w:rFonts w:ascii="Arial" w:hAnsi="Arial"/>
          <w:b/>
          <w:i w:val="0"/>
          <w:color w:val="000000"/>
          <w:sz w:val="21"/>
        </w:rPr>
        <w:t xml:space="preserve">Beneficiar: </w:t>
      </w:r>
      <w:r>
        <w:rPr>
          <w:rFonts w:ascii="Arial" w:hAnsi="Arial"/>
          <w:b w:val="0"/>
          <w:i w:val="0"/>
          <w:color w:val="000000"/>
          <w:sz w:val="21"/>
        </w:rPr>
        <w:t>Unitatea Administrativ-Teritorială Comuna Salcia Tudor</w:t>
      </w:r>
    </w:p>
    <w:p>
      <w:pPr>
        <w:spacing w:before="0" w:after="40" w:line="252" w:lineRule="auto"/>
        <w:jc w:val="left"/>
      </w:pPr>
      <w:r>
        <w:rPr>
          <w:rFonts w:ascii="Arial" w:hAnsi="Arial"/>
          <w:b/>
          <w:i w:val="0"/>
          <w:color w:val="000000"/>
          <w:sz w:val="21"/>
        </w:rPr>
        <w:t xml:space="preserve">Date de contact: </w:t>
      </w:r>
      <w:r>
        <w:rPr>
          <w:rFonts w:ascii="Arial" w:hAnsi="Arial"/>
          <w:b w:val="0"/>
          <w:i w:val="0"/>
          <w:color w:val="000000"/>
          <w:sz w:val="21"/>
        </w:rPr>
        <w:t>Ion Serafim | E-mail: secretariat@salciatudor.ro</w:t>
      </w:r>
    </w:p>
    <w:p>
      <w:pPr>
        <w:spacing w:before="100" w:after="60"/>
        <w:jc w:val="center"/>
      </w:pPr>
      <w:r>
        <w:rPr>
          <w:rFonts w:ascii="Arial" w:hAnsi="Arial"/>
          <w:b w:val="0"/>
          <w:i/>
          <w:color w:val="555555"/>
          <w:sz w:val="16"/>
        </w:rPr>
        <w:t>Conținutul acestui material nu reprezintă în mod obligatoriu poziția oficială a Uniunii Europene sau a Guvernului României.</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3331"/>
        <w:gridCol w:w="3331"/>
        <w:gridCol w:w="3331"/>
      </w:tblGrid>
      <w:tr>
        <w:tc>
          <w:tcPr>
            <w:tcW w:type="dxa" w:w="3024"/>
            <w:shd w:fill="003399"/>
            <w:tcMar>
              <w:top w:w="10" w:type="dxa"/>
              <w:start w:w="0" w:type="dxa"/>
              <w:bottom w:w="10" w:type="dxa"/>
              <w:end w:w="0" w:type="dxa"/>
            </w:tcMar>
          </w:tcPr>
          <w:p>
            <w:pPr>
              <w:spacing w:after="0"/>
            </w:pPr>
            <w:r>
              <w:rPr>
                <w:rFonts w:ascii="Arial" w:hAnsi="Arial"/>
                <w:b w:val="0"/>
                <w:i w:val="0"/>
                <w:color w:val="000000"/>
                <w:sz w:val="2"/>
              </w:rPr>
              <w:t xml:space="preserve"> </w:t>
            </w:r>
          </w:p>
        </w:tc>
        <w:tc>
          <w:tcPr>
            <w:tcW w:type="dxa" w:w="3024"/>
            <w:shd w:fill="FCD116"/>
            <w:tcMar>
              <w:top w:w="10" w:type="dxa"/>
              <w:start w:w="0" w:type="dxa"/>
              <w:bottom w:w="10" w:type="dxa"/>
              <w:end w:w="0" w:type="dxa"/>
            </w:tcMar>
          </w:tcPr>
          <w:p>
            <w:pPr>
              <w:spacing w:after="0"/>
            </w:pPr>
            <w:r>
              <w:rPr>
                <w:rFonts w:ascii="Arial" w:hAnsi="Arial"/>
                <w:b w:val="0"/>
                <w:i w:val="0"/>
                <w:color w:val="000000"/>
                <w:sz w:val="2"/>
              </w:rPr>
              <w:t xml:space="preserve"> </w:t>
            </w:r>
          </w:p>
        </w:tc>
        <w:tc>
          <w:tcPr>
            <w:tcW w:type="dxa" w:w="3024"/>
            <w:shd w:fill="CE1126"/>
            <w:tcMar>
              <w:top w:w="10" w:type="dxa"/>
              <w:start w:w="0" w:type="dxa"/>
              <w:bottom w:w="10" w:type="dxa"/>
              <w:end w:w="0" w:type="dxa"/>
            </w:tcMar>
          </w:tcPr>
          <w:p>
            <w:pPr>
              <w:spacing w:after="0"/>
            </w:pPr>
            <w:r>
              <w:rPr>
                <w:rFonts w:ascii="Arial" w:hAnsi="Arial"/>
                <w:b w:val="0"/>
                <w:i w:val="0"/>
                <w:color w:val="000000"/>
                <w:sz w:val="2"/>
              </w:rPr>
              <w:t xml:space="preserve"> </w:t>
            </w:r>
          </w:p>
        </w:tc>
      </w:tr>
    </w:tbl>
    <w:p>
      <w:pPr>
        <w:spacing w:before="40" w:after="20"/>
        <w:jc w:val="center"/>
      </w:pPr>
      <w:r>
        <w:rPr>
          <w:rFonts w:ascii="Arial" w:hAnsi="Arial"/>
          <w:b/>
          <w:i w:val="0"/>
          <w:color w:val="003B7A"/>
          <w:sz w:val="21"/>
        </w:rPr>
        <w:t>„PNRR. Finanțat de Uniunea Europeană – UrmătoareaGenerațieUE”</w:t>
      </w:r>
    </w:p>
    <w:p>
      <w:pPr>
        <w:spacing w:after="0"/>
        <w:jc w:val="center"/>
      </w:pPr>
      <w:r>
        <w:rPr>
          <w:rFonts w:ascii="Arial" w:hAnsi="Arial"/>
          <w:b w:val="0"/>
          <w:i w:val="0"/>
          <w:color w:val="003B7A"/>
          <w:sz w:val="18"/>
        </w:rPr>
        <w:t>Website: https://mfe.gov.ro/pnrr/</w:t>
      </w:r>
    </w:p>
    <w:sectPr w:rsidR="00FC693F" w:rsidRPr="0006063C" w:rsidSect="00034616">
      <w:pgSz w:w="12240" w:h="15840"/>
      <w:pgMar w:top="792" w:right="1123" w:bottom="792"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 de presă – finalizarea proiectului F-PNRR-Dotari-2023-6174</dc:title>
  <dc:subject>Finalizarea proiectului Școală atractivă și educație digitală pentru toți copiii din comuna Salcia Tudor</dc:subject>
  <dc:creator>UAT Comuna Salcia Tudor</dc:creator>
  <cp:keywords>PNRR, educație digitală, dotări, Salcia Tudor, comunicat de presă</cp:keywords>
  <dc:description>generated by python-docx</dc:description>
  <cp:lastModifiedBy/>
  <cp:revision>1</cp:revision>
  <dcterms:created xsi:type="dcterms:W3CDTF">2013-12-23T23:15:00Z</dcterms:created>
  <dcterms:modified xsi:type="dcterms:W3CDTF">2013-12-23T23:15:00Z</dcterms:modified>
  <cp:category/>
</cp:coreProperties>
</file>